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AE" w:rsidRPr="00475D99" w:rsidRDefault="00C227AE" w:rsidP="00475D99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227AE" w:rsidRPr="00475D99" w:rsidRDefault="00C227AE" w:rsidP="00475D99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C227AE" w:rsidRPr="00475D99" w:rsidRDefault="00C227AE" w:rsidP="00475D99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color w:val="000000"/>
          <w:shd w:val="clear" w:color="auto" w:fill="FFFFFF"/>
        </w:rPr>
      </w:pPr>
      <w:bookmarkStart w:id="0" w:name="_GoBack"/>
      <w:r w:rsidRPr="00475D99">
        <w:rPr>
          <w:rFonts w:ascii="Times New Roman" w:hAnsi="Times New Roman"/>
          <w:i w:val="0"/>
          <w:color w:val="000000"/>
          <w:shd w:val="clear" w:color="auto" w:fill="FFFFFF"/>
        </w:rPr>
        <w:t>Техническая спецификация</w:t>
      </w:r>
    </w:p>
    <w:p w:rsidR="00C227AE" w:rsidRPr="00475D99" w:rsidRDefault="00C227AE" w:rsidP="00475D99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color w:val="000000"/>
          <w:shd w:val="clear" w:color="auto" w:fill="FFFFFF"/>
        </w:rPr>
      </w:pPr>
      <w:r w:rsidRPr="00475D99">
        <w:rPr>
          <w:rFonts w:ascii="Times New Roman" w:hAnsi="Times New Roman"/>
          <w:i w:val="0"/>
          <w:color w:val="000000"/>
          <w:shd w:val="clear" w:color="auto" w:fill="FFFFFF"/>
        </w:rPr>
        <w:t>Аппарат для электротерапии</w:t>
      </w:r>
    </w:p>
    <w:p w:rsidR="00475D99" w:rsidRPr="00475D99" w:rsidRDefault="00475D99" w:rsidP="00475D99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227AE" w:rsidRPr="00475D99" w:rsidRDefault="00C227AE" w:rsidP="00475D99">
      <w:pPr>
        <w:autoSpaceDE w:val="0"/>
        <w:autoSpaceDN w:val="0"/>
        <w:adjustRightInd w:val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СМТ токи, доступные в двух каналах</w:t>
      </w:r>
      <w:r w:rsidR="00F548B2">
        <w:rPr>
          <w:rFonts w:ascii="Times New Roman" w:eastAsia="HelveticaCyr-Upright" w:hAnsi="Times New Roman" w:cs="Times New Roman"/>
          <w:sz w:val="28"/>
          <w:szCs w:val="28"/>
        </w:rPr>
        <w:t>: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 классическая интерференция, изопланарная интерференция.</w:t>
      </w:r>
    </w:p>
    <w:p w:rsidR="00C227AE" w:rsidRPr="00475D99" w:rsidRDefault="00C227AE" w:rsidP="00475D99">
      <w:pPr>
        <w:autoSpaceDE w:val="0"/>
        <w:autoSpaceDN w:val="0"/>
        <w:adjustRightInd w:val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 Асимметричный двухфазный ЧЭНС (TENS) – чрескожная</w:t>
      </w:r>
      <w:r w:rsidR="00475D99">
        <w:rPr>
          <w:rFonts w:ascii="Times New Roman" w:eastAsia="HelveticaCyr-Upright" w:hAnsi="Times New Roman" w:cs="Times New Roman"/>
          <w:sz w:val="28"/>
          <w:szCs w:val="28"/>
        </w:rPr>
        <w:t xml:space="preserve"> 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>электронейростимуляция.</w:t>
      </w:r>
    </w:p>
    <w:p w:rsidR="00C227AE" w:rsidRPr="00475D99" w:rsidRDefault="00C227AE" w:rsidP="00475D99">
      <w:pPr>
        <w:autoSpaceDE w:val="0"/>
        <w:autoSpaceDN w:val="0"/>
        <w:adjustRightInd w:val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ЧЭНС в режиме посылка/пауза, 30 встроенных программ терапии, настраиваемых и перезаписываемых, большой, четкий дисплей,  настраиваемая начальная программа</w:t>
      </w:r>
    </w:p>
    <w:p w:rsidR="00C227AE" w:rsidRPr="00475D99" w:rsidRDefault="00C227AE" w:rsidP="00475D99">
      <w:pPr>
        <w:autoSpaceDE w:val="0"/>
        <w:autoSpaceDN w:val="0"/>
        <w:adjustRightInd w:val="0"/>
        <w:spacing w:after="0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t>Комплектация: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Фиксирующая лента 250x3 см – 1шт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Фиксирующая лента 100x3 см - 1шт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Электроды резиновые 6x8 см, 2 мм разъем, набор из 2 шт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Увлажняемые прокладки для гибких резиновых электродов 6x8 см, компл. из 4 шт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Кабель пациента, 2-х проводной, 2 мм разъемы, (черный)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Кабель подключения питания, тип (EUR)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Адаптер питания ENB-1530 100-240</w:t>
      </w:r>
      <w:r w:rsidRPr="00475D99">
        <w:rPr>
          <w:rFonts w:ascii="Times New Roman" w:hAnsi="Times New Roman" w:cs="Times New Roman"/>
          <w:sz w:val="28"/>
          <w:szCs w:val="28"/>
          <w:lang w:val="kk-KZ" w:eastAsia="ko-KR"/>
        </w:rPr>
        <w:t>VAC 15V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Инструкция по эксплуатации </w:t>
      </w:r>
    </w:p>
    <w:p w:rsidR="00475D99" w:rsidRDefault="00475D99" w:rsidP="00475D99">
      <w:pPr>
        <w:spacing w:after="0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t>Общие: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Интенсивность тока               0 – 99 мА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Встроенные часы                   0 – 60 мин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Максимальная интенсивность, соответствующая спецификации, достигается при нагрузке 500 Ом</w:t>
      </w:r>
    </w:p>
    <w:p w:rsidR="00475D99" w:rsidRDefault="00475D99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t>2Р – двуполярный ток средней частоты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Несущая частота                    4 кГц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Амлитудная модуляция         5 – 200 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Частотная модуляция            0 – 180 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Программы спектра                1/1, 6/6, 1/30/130</w:t>
      </w:r>
    </w:p>
    <w:p w:rsidR="00475D99" w:rsidRDefault="00475D99" w:rsidP="00475D99">
      <w:pPr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t>4Р – классическая и изопланарная интерференция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Несущая частота                   4 кГц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Амлитудная модуляция         5 – 200 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Частотная модуляция            0 – 180 Гц</w:t>
      </w:r>
    </w:p>
    <w:p w:rsidR="00C227AE" w:rsidRPr="00475D99" w:rsidRDefault="00C227AE" w:rsidP="00475D99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Программы спектра                1/1, 6/6, 1/30/130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lastRenderedPageBreak/>
        <w:t>Двуполярный импульсный ассиметричный ток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Длительность импульса                 150 мкс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Частота повторения                        1 – 200 Гц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Частотная модуляция                     0 – 180 Гц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Программы спектра                        1/1, 6/6, 1/30/130</w:t>
      </w:r>
    </w:p>
    <w:p w:rsidR="00C227AE" w:rsidRPr="00475D99" w:rsidRDefault="00C227AE" w:rsidP="00475D99">
      <w:pPr>
        <w:spacing w:after="0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Частота бурста                                2 Гц</w:t>
      </w:r>
    </w:p>
    <w:p w:rsidR="00475D99" w:rsidRDefault="00475D99" w:rsidP="00475D99">
      <w:pPr>
        <w:spacing w:after="0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b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b/>
          <w:sz w:val="28"/>
          <w:szCs w:val="28"/>
        </w:rPr>
        <w:t>Питающее устройство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Тип устройства                              </w:t>
      </w:r>
      <w:r w:rsidRPr="00475D99">
        <w:rPr>
          <w:rFonts w:ascii="Times New Roman" w:eastAsia="HelveticaCyr-Upright" w:hAnsi="Times New Roman" w:cs="Times New Roman"/>
          <w:sz w:val="28"/>
          <w:szCs w:val="28"/>
          <w:lang w:val="en-US"/>
        </w:rPr>
        <w:t>ENB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 – 1530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Напряжение сети                           230 </w:t>
      </w:r>
      <w:r w:rsidRPr="00475D99">
        <w:rPr>
          <w:rFonts w:ascii="Times New Roman" w:eastAsia="HelveticaCyr-Upright" w:hAnsi="Times New Roman" w:cs="Times New Roman"/>
          <w:sz w:val="28"/>
          <w:szCs w:val="28"/>
          <w:lang w:val="en-US"/>
        </w:rPr>
        <w:t>VEUR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Частота                                           50 – 60 </w:t>
      </w:r>
      <w:r w:rsidRPr="00475D99">
        <w:rPr>
          <w:rFonts w:ascii="Times New Roman" w:eastAsia="HelveticaCyr-Upright" w:hAnsi="Times New Roman" w:cs="Times New Roman"/>
          <w:sz w:val="28"/>
          <w:szCs w:val="28"/>
          <w:lang w:val="en-US"/>
        </w:rPr>
        <w:t>Hz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Допустимые колебания                 +-   10 %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Выходное напряжение                  15 </w:t>
      </w:r>
      <w:r w:rsidRPr="00475D99">
        <w:rPr>
          <w:rFonts w:ascii="Times New Roman" w:eastAsia="HelveticaCyr-Upright" w:hAnsi="Times New Roman" w:cs="Times New Roman"/>
          <w:sz w:val="28"/>
          <w:szCs w:val="28"/>
          <w:lang w:val="en-US"/>
        </w:rPr>
        <w:t>V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 xml:space="preserve"> (3.4 </w:t>
      </w:r>
      <w:r w:rsidRPr="00475D99">
        <w:rPr>
          <w:rFonts w:ascii="Times New Roman" w:eastAsia="HelveticaCyr-Upright" w:hAnsi="Times New Roman" w:cs="Times New Roman"/>
          <w:sz w:val="28"/>
          <w:szCs w:val="28"/>
          <w:lang w:val="en-US"/>
        </w:rPr>
        <w:t>A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>)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Максимальный выходной ток        2 А</w:t>
      </w:r>
    </w:p>
    <w:p w:rsidR="00C227AE" w:rsidRPr="00475D99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eastAsia="HelveticaCyr-Upright" w:hAnsi="Times New Roman" w:cs="Times New Roman"/>
          <w:sz w:val="28"/>
          <w:szCs w:val="28"/>
        </w:rPr>
        <w:t>Габариты                                         22x20x20 см (ШxГxВ)</w:t>
      </w:r>
    </w:p>
    <w:p w:rsidR="00C227AE" w:rsidRDefault="00C227AE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  <w:r w:rsidRPr="00475D99">
        <w:rPr>
          <w:rFonts w:ascii="Times New Roman" w:hAnsi="Times New Roman" w:cs="Times New Roman"/>
          <w:bCs/>
          <w:sz w:val="28"/>
          <w:szCs w:val="28"/>
        </w:rPr>
        <w:t xml:space="preserve">Вес                                                   </w:t>
      </w:r>
      <w:r w:rsidRPr="00475D99">
        <w:rPr>
          <w:rFonts w:ascii="Times New Roman" w:eastAsia="HelveticaCyr-Upright" w:hAnsi="Times New Roman" w:cs="Times New Roman"/>
          <w:sz w:val="28"/>
          <w:szCs w:val="28"/>
        </w:rPr>
        <w:t>1.8 кг</w:t>
      </w:r>
    </w:p>
    <w:p w:rsidR="00825AE7" w:rsidRDefault="00825AE7" w:rsidP="00F548B2">
      <w:pPr>
        <w:spacing w:after="0" w:line="240" w:lineRule="auto"/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825AE7" w:rsidRP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>1</w:t>
      </w:r>
    </w:p>
    <w:p w:rsidR="00825AE7" w:rsidRP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>Единица измерения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ш</w:t>
      </w:r>
      <w:r w:rsidRPr="00825AE7">
        <w:rPr>
          <w:rFonts w:ascii="Times New Roman" w:hAnsi="Times New Roman" w:cs="Times New Roman"/>
          <w:sz w:val="28"/>
          <w:szCs w:val="28"/>
        </w:rPr>
        <w:t>т</w:t>
      </w:r>
    </w:p>
    <w:p w:rsidR="00825AE7" w:rsidRP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AE7">
        <w:rPr>
          <w:rFonts w:ascii="Times New Roman" w:hAnsi="Times New Roman" w:cs="Times New Roman"/>
          <w:sz w:val="28"/>
          <w:szCs w:val="28"/>
        </w:rPr>
        <w:t>100 000</w:t>
      </w:r>
    </w:p>
    <w:p w:rsidR="00825AE7" w:rsidRP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 xml:space="preserve">Гарантия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>37 месяцев</w:t>
      </w:r>
    </w:p>
    <w:p w:rsid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>Место доставки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 xml:space="preserve">РК, Костанайская область, Карасуский район,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AE7" w:rsidRPr="00825AE7" w:rsidRDefault="00825AE7" w:rsidP="0082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>с.Карасу, ул.Т.Рамазанова 2</w:t>
      </w:r>
    </w:p>
    <w:p w:rsidR="00825AE7" w:rsidRPr="00475D99" w:rsidRDefault="00825AE7" w:rsidP="00825AE7">
      <w:pPr>
        <w:spacing w:after="0" w:line="240" w:lineRule="auto"/>
        <w:rPr>
          <w:rFonts w:ascii="Times New Roman" w:eastAsia="HelveticaCyr-Upright" w:hAnsi="Times New Roman" w:cs="Times New Roman"/>
          <w:sz w:val="28"/>
          <w:szCs w:val="28"/>
        </w:rPr>
      </w:pPr>
      <w:r w:rsidRPr="00825AE7">
        <w:rPr>
          <w:rFonts w:ascii="Times New Roman" w:hAnsi="Times New Roman" w:cs="Times New Roman"/>
          <w:sz w:val="28"/>
          <w:szCs w:val="28"/>
        </w:rPr>
        <w:t>Срок доставки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25AE7">
        <w:rPr>
          <w:rFonts w:ascii="Times New Roman" w:hAnsi="Times New Roman" w:cs="Times New Roman"/>
          <w:sz w:val="28"/>
          <w:szCs w:val="28"/>
        </w:rPr>
        <w:t>15 календарных дней</w:t>
      </w:r>
    </w:p>
    <w:p w:rsidR="00C227AE" w:rsidRDefault="00C227AE" w:rsidP="00475D99">
      <w:pPr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C92E84" w:rsidRPr="00475D99" w:rsidRDefault="00C92E84" w:rsidP="00475D99">
      <w:pPr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C227AE" w:rsidRPr="00475D99" w:rsidRDefault="00C227AE" w:rsidP="00475D99">
      <w:pPr>
        <w:tabs>
          <w:tab w:val="left" w:pos="2610"/>
        </w:tabs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C227AE" w:rsidRPr="00475D99" w:rsidRDefault="00C227AE" w:rsidP="00475D99">
      <w:pPr>
        <w:jc w:val="both"/>
        <w:rPr>
          <w:rFonts w:ascii="Times New Roman" w:eastAsia="HelveticaCyr-Upright" w:hAnsi="Times New Roman" w:cs="Times New Roman"/>
          <w:sz w:val="28"/>
          <w:szCs w:val="28"/>
        </w:rPr>
      </w:pPr>
    </w:p>
    <w:p w:rsidR="008A0492" w:rsidRPr="00475D99" w:rsidRDefault="008A0492" w:rsidP="00475D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0492" w:rsidRPr="00475D99" w:rsidSect="00315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Cyr-Up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27AE"/>
    <w:rsid w:val="00315404"/>
    <w:rsid w:val="00475D99"/>
    <w:rsid w:val="00825AE7"/>
    <w:rsid w:val="008A0492"/>
    <w:rsid w:val="00AF3EEE"/>
    <w:rsid w:val="00BF72E9"/>
    <w:rsid w:val="00C227AE"/>
    <w:rsid w:val="00C92E84"/>
    <w:rsid w:val="00D47B44"/>
    <w:rsid w:val="00D865BC"/>
    <w:rsid w:val="00F5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EE"/>
  </w:style>
  <w:style w:type="paragraph" w:styleId="2">
    <w:name w:val="heading 2"/>
    <w:basedOn w:val="a"/>
    <w:next w:val="a"/>
    <w:link w:val="20"/>
    <w:unhideWhenUsed/>
    <w:qFormat/>
    <w:rsid w:val="00C227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27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C227AE"/>
  </w:style>
  <w:style w:type="character" w:customStyle="1" w:styleId="1">
    <w:name w:val="Заголовок1"/>
    <w:basedOn w:val="a0"/>
    <w:rsid w:val="00C227AE"/>
  </w:style>
  <w:style w:type="table" w:styleId="a3">
    <w:name w:val="Table Grid"/>
    <w:basedOn w:val="a1"/>
    <w:uiPriority w:val="59"/>
    <w:rsid w:val="00C92E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7</cp:revision>
  <dcterms:created xsi:type="dcterms:W3CDTF">2018-07-10T05:21:00Z</dcterms:created>
  <dcterms:modified xsi:type="dcterms:W3CDTF">2018-07-13T04:09:00Z</dcterms:modified>
</cp:coreProperties>
</file>